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center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Fourniture de gaz, location et maintenance d’installations associées au profit de l’Unité Nationale de Police Judiciaire de la Gendarmerie Nationale (UNPJ-GN) à Cergy-Pontoise</w:t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Cadre de réponse technique</w:t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du lot n°2 – Installation, location de cadres de bonbonnes de gaz et de gaz en bouteille</w:t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bidi w:val="0"/>
              <w:ind w:hanging="0" w:left="113" w:right="113"/>
              <w:jc w:val="left"/>
              <w:rPr>
                <w:color w:val="FF0000"/>
              </w:rPr>
            </w:pPr>
            <w:r>
              <w:rPr>
                <w:color w:val="FF0000"/>
                <w:u w:val="single"/>
              </w:rPr>
              <w:t>Consignes de remplissage :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Ce cadre de réponse technique a pour objectif de permettre la notation des critères de jugement n°2, 3 et 4 (sur 50 points) du lot n°2 mentionnés à l’article</w:t>
            </w:r>
            <w:r>
              <w:rPr>
                <w:rFonts w:ascii="Times New Roman" w:hAnsi="Times New Roman"/>
                <w:color w:val="00A93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15.3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du règlement de consultation.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est donc nécessaire d’apporter une attention toute particulière à son remplissage.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candidat devra indiquer sa réponse dans les cadres prévus à cet effet (la taille des cadres est modulable).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Toutefois,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le nombre total de pages du cadre de réponse technique ne devra pas excéde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u w:val="single"/>
                <w:shd w:fill="auto" w:val="clear"/>
              </w:rPr>
              <w:t xml:space="preserve">r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u w:val="single"/>
                <w:shd w:fill="auto" w:val="clear"/>
              </w:rPr>
              <w:t>40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u w:val="single"/>
                <w:shd w:fill="auto" w:val="clear"/>
              </w:rPr>
              <w:t xml:space="preserve"> pages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(y compris annexes, hors page de garde et sommaire). Toute page au-delà de cette limite ne sera pas prise en compte dans la notation.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color w:val="auto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</w:rPr>
              <w:t>Tout document complémentaire à ce cadre de réponse technique  ne sera pas étudié.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auto"/>
                <w:sz w:val="22"/>
                <w:szCs w:val="22"/>
                <w:u w:val="single"/>
              </w:rPr>
              <w:t>Les rubriques et la police affectées à ce document ne doivent en aucun cas être modifiées pour préserver l’égalité de traitement des candidats.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b/>
                <w:bCs/>
                <w:u w:val="none"/>
              </w:rPr>
            </w:pPr>
            <w:r>
              <w:rPr>
                <w:b/>
                <w:bCs/>
                <w:u w:val="none"/>
              </w:rPr>
            </w:r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134" w:right="1134" w:gutter="0" w:header="0" w:top="1134" w:footer="1191" w:bottom="1444"/>
          <w:pgNumType w:fmt="none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bidi w:val="0"/>
        <w:spacing w:before="0" w:after="283"/>
        <w:jc w:val="center"/>
        <w:rPr>
          <w:highlight w:val="none"/>
          <w:shd w:fill="DDDDDD" w:val="clear"/>
        </w:rPr>
      </w:pPr>
      <w:r>
        <w:rPr>
          <w:rFonts w:ascii="Times New Roman" w:hAnsi="Times New Roman"/>
          <w:b/>
          <w:bCs/>
          <w:sz w:val="22"/>
          <w:szCs w:val="22"/>
          <w:shd w:fill="DDDDDD" w:val="clear"/>
        </w:rPr>
        <w:t xml:space="preserve">Évaluation Technique du </w:t>
      </w:r>
      <w:r>
        <w:rPr>
          <w:rFonts w:ascii="Times New Roman" w:hAnsi="Times New Roman"/>
          <w:b/>
          <w:bCs/>
          <w:color w:val="000000"/>
          <w:sz w:val="22"/>
          <w:szCs w:val="22"/>
          <w:shd w:fill="DDDDDD" w:val="clear"/>
        </w:rPr>
        <w:t>candidat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Critère 2 : Qualité technique et sécurité des équipements : 20 points 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103"/>
        <w:jc w:val="both"/>
        <w:rPr/>
      </w:pPr>
      <w:r>
        <w:rPr>
          <w:rStyle w:val="Policepardfaut"/>
          <w:rFonts w:cs="Arial" w:ascii="Times New Roman" w:hAnsi="Times New Roman"/>
          <w:b/>
          <w:bCs/>
          <w:color w:val="000000"/>
          <w:sz w:val="20"/>
          <w:szCs w:val="20"/>
          <w:u w:val="none"/>
        </w:rPr>
        <w:t>SC1. Garanties apportées en termes de sécurité et prévention de la contamination sur 10 points.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Le soumissionnaire devra décrire les éléments suivants 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les procédures de connexion / déconnexion ;</w:t>
        <w:br/>
        <w:t>- les dispositifs de sécurité intégrés.</w:t>
      </w:r>
    </w:p>
    <w:p>
      <w:pPr>
        <w:pStyle w:val="PrformatHTML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PrformatHTML"/>
        <w:widowControl w:val="false"/>
        <w:bidi w:val="0"/>
        <w:spacing w:lineRule="auto" w:line="240" w:before="227" w:after="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Style w:val="Policepardfaut"/>
          <w:rFonts w:cs="Arial" w:ascii="Times New Roman" w:hAnsi="Times New Roman"/>
          <w:b/>
          <w:bCs/>
          <w:i w:val="false"/>
          <w:iCs w:val="false"/>
          <w:sz w:val="20"/>
          <w:szCs w:val="20"/>
          <w:u w:val="single"/>
        </w:rPr>
        <w:t>SC2. Garanties apportées en termes de traçabilité complète</w:t>
      </w:r>
      <w:r>
        <w:rPr>
          <w:rStyle w:val="Policepardfaut"/>
          <w:rFonts w:cs="Arial" w:ascii="Times New Roman" w:hAnsi="Times New Roman"/>
          <w:b/>
          <w:bCs/>
          <w:sz w:val="20"/>
          <w:szCs w:val="20"/>
          <w:u w:val="single"/>
        </w:rPr>
        <w:t xml:space="preserve"> sur 5 points.</w:t>
      </w:r>
    </w:p>
    <w:p>
      <w:pPr>
        <w:pStyle w:val="PrformatHTML"/>
        <w:rPr>
          <w:rFonts w:ascii="Times New Roman" w:hAnsi="Times New Roman" w:eastAsia="Calibri" w:cs="Marianne"/>
          <w:bCs/>
          <w:sz w:val="20"/>
          <w:szCs w:val="20"/>
          <w:lang w:eastAsia="en-US"/>
        </w:rPr>
      </w:pPr>
      <w:r>
        <w:rPr>
          <w:rFonts w:eastAsia="Calibri" w:cs="Marianne" w:ascii="Times New Roman" w:hAnsi="Times New Roman"/>
          <w:bCs/>
          <w:sz w:val="20"/>
          <w:szCs w:val="20"/>
          <w:lang w:eastAsia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Marianne" w:ascii="Times New Roman" w:hAnsi="Times New Roman"/>
          <w:bCs/>
          <w:sz w:val="20"/>
          <w:szCs w:val="20"/>
          <w:lang w:eastAsia="en-US"/>
        </w:rPr>
        <w:t xml:space="preserve">Le soumissionnaire devra décrire :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Marianne" w:ascii="Times New Roman" w:hAnsi="Times New Roman"/>
          <w:bCs/>
          <w:sz w:val="20"/>
          <w:szCs w:val="20"/>
          <w:lang w:eastAsia="en-US"/>
        </w:rPr>
        <w:t>- la traçabilité des gaz notamment la numérotation des lots ainsi que l’historique qualité ;</w:t>
        <w:br/>
        <w:t>- la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 description des procédures internes de traçabilit</w:t>
      </w:r>
      <w:r>
        <w:rPr>
          <w:rFonts w:eastAsia="Calibri" w:cs="Marianne" w:ascii="Times New Roman" w:hAnsi="Times New Roman"/>
          <w:bCs/>
          <w:sz w:val="20"/>
          <w:szCs w:val="20"/>
          <w:lang w:eastAsia="en-US"/>
        </w:rPr>
        <w:t>é.</w:t>
      </w:r>
    </w:p>
    <w:p>
      <w:pPr>
        <w:pStyle w:val="PrformatHTML"/>
        <w:rPr>
          <w:b/>
          <w:bCs/>
          <w:u w:val="single"/>
        </w:rPr>
      </w:pPr>
      <w:r>
        <w:rPr>
          <w:b/>
          <w:bCs/>
          <w:u w:val="single"/>
        </w:rPr>
      </w:r>
    </w:p>
    <w:p>
      <w:pPr>
        <w:pStyle w:val="PrformatHTML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Normal"/>
        <w:spacing w:before="0" w:after="103"/>
        <w:jc w:val="both"/>
        <w:rPr/>
      </w:pPr>
      <w:r>
        <w:rPr>
          <w:rStyle w:val="Policepardfaut"/>
          <w:rFonts w:cs="Arial" w:ascii="Times New Roman" w:hAnsi="Times New Roman"/>
          <w:b/>
          <w:bCs/>
          <w:i w:val="false"/>
          <w:iCs w:val="false"/>
          <w:sz w:val="20"/>
          <w:szCs w:val="20"/>
        </w:rPr>
        <w:t>SC3. Engagements du soumissionnaire en matière d’équipements de transport</w:t>
      </w:r>
      <w:r>
        <w:rPr>
          <w:rStyle w:val="Policepardfaut"/>
          <w:rFonts w:cs="Arial" w:ascii="Times New Roman" w:hAnsi="Times New Roman"/>
          <w:b/>
          <w:bCs/>
          <w:i w:val="false"/>
          <w:iCs w:val="false"/>
          <w:color w:val="000000"/>
          <w:sz w:val="20"/>
          <w:szCs w:val="20"/>
        </w:rPr>
        <w:t xml:space="preserve"> sur 5 points.</w:t>
      </w:r>
    </w:p>
    <w:p>
      <w:pPr>
        <w:pStyle w:val="Contenudetableau"/>
        <w:jc w:val="both"/>
        <w:rPr>
          <w:rStyle w:val="Policepardfaut"/>
          <w:rFonts w:ascii="Times New Roman" w:hAnsi="Times New Roman" w:cs="Arial"/>
          <w:b w:val="false"/>
          <w:bCs w:val="false"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 w:val="false"/>
          <w:iCs w:val="false"/>
          <w:color w:val="000000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 soumissionnaire </w:t>
      </w:r>
      <w:r>
        <w:rPr>
          <w:rFonts w:eastAsia="Calibri" w:cs="Arial" w:ascii="Times New Roman" w:hAnsi="Times New Roman"/>
          <w:bCs/>
          <w:sz w:val="20"/>
          <w:szCs w:val="20"/>
          <w:u w:val="none"/>
          <w:lang w:eastAsia="en-US"/>
        </w:rPr>
        <w:t>devra décrire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 les éléments suivants :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trike w:val="false"/>
          <w:dstrike w:val="false"/>
          <w:sz w:val="20"/>
          <w:szCs w:val="20"/>
          <w:lang w:eastAsia="en-US"/>
        </w:rPr>
        <w:t xml:space="preserve">- </w:t>
      </w:r>
      <w:r>
        <w:rPr>
          <w:rFonts w:eastAsia="Calibri" w:cs="Arial" w:ascii="Times New Roman" w:hAnsi="Times New Roman"/>
          <w:bCs/>
          <w:strike w:val="false"/>
          <w:dstrike w:val="false"/>
          <w:sz w:val="20"/>
          <w:szCs w:val="20"/>
          <w:u w:val="none"/>
          <w:lang w:eastAsia="en-US"/>
        </w:rPr>
        <w:t>les véhicules du transporteur certifiés ADR ;</w:t>
      </w:r>
      <w:r>
        <w:rPr>
          <w:rFonts w:eastAsia="Calibri" w:cs="Arial" w:ascii="Times New Roman" w:hAnsi="Times New Roman"/>
          <w:bCs/>
          <w:strike w:val="false"/>
          <w:dstrike w:val="false"/>
          <w:sz w:val="20"/>
          <w:szCs w:val="20"/>
          <w:lang w:eastAsia="en-US"/>
        </w:rPr>
        <w:br/>
        <w:t>- les chauffeurs certifiés ADR ;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br/>
        <w:t>- les moyens de levage.</w:t>
      </w:r>
    </w:p>
    <w:p>
      <w:pPr>
        <w:pStyle w:val="PrformatHTML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PrformatHTML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/>
      </w:pPr>
      <w:r>
        <w:rPr>
          <w:rFonts w:ascii="Times New Roman" w:hAnsi="Times New Roman"/>
          <w:b/>
          <w:bCs/>
          <w:sz w:val="22"/>
          <w:szCs w:val="22"/>
        </w:rPr>
        <w:t>Critère 3 :</w:t>
      </w:r>
      <w:r>
        <w:rPr>
          <w:rFonts w:ascii="Times New Roman" w:hAnsi="Times New Roman"/>
          <w:b/>
          <w:bCs/>
          <w:sz w:val="22"/>
          <w:szCs w:val="22"/>
          <w:u w:val="none"/>
        </w:rPr>
        <w:t xml:space="preserve"> </w:t>
      </w:r>
      <w:r>
        <w:rPr>
          <w:rStyle w:val="Policepardfaut"/>
          <w:rFonts w:cs="Arial" w:ascii="Times New Roman" w:hAnsi="Times New Roman"/>
          <w:b/>
          <w:bCs/>
          <w:sz w:val="22"/>
          <w:szCs w:val="22"/>
          <w:u w:val="none"/>
        </w:rPr>
        <w:t xml:space="preserve">Performance du système d’approvisionnement (télémétrie + gestion des stocks) </w:t>
      </w:r>
      <w:r>
        <w:rPr>
          <w:rStyle w:val="Policepardfaut"/>
          <w:rFonts w:cs="Arial" w:ascii="Times New Roman" w:hAnsi="Times New Roman"/>
          <w:b/>
          <w:bCs/>
          <w:color w:val="000000"/>
          <w:sz w:val="22"/>
          <w:szCs w:val="22"/>
          <w:u w:val="none"/>
        </w:rPr>
        <w:t xml:space="preserve">– 20 </w:t>
      </w:r>
      <w:r>
        <w:rPr>
          <w:rStyle w:val="Policepardfaut"/>
          <w:rFonts w:cs="Arial" w:ascii="Times New Roman" w:hAnsi="Times New Roman"/>
          <w:b/>
          <w:bCs/>
          <w:sz w:val="22"/>
          <w:szCs w:val="22"/>
          <w:u w:val="none"/>
        </w:rPr>
        <w:t>points</w:t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b/>
          <w:bCs/>
          <w:sz w:val="22"/>
          <w:szCs w:val="22"/>
          <w:u w:val="none"/>
        </w:rPr>
      </w:pPr>
      <w:r>
        <w:rPr>
          <w:rFonts w:ascii="Times New Roman" w:hAnsi="Times New Roman"/>
          <w:b/>
          <w:bCs/>
          <w:sz w:val="22"/>
          <w:szCs w:val="22"/>
          <w:u w:val="none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b/>
          <w:bCs/>
          <w:sz w:val="22"/>
          <w:szCs w:val="22"/>
          <w:u w:val="none"/>
        </w:rPr>
      </w:pPr>
      <w:r>
        <w:rPr>
          <w:rFonts w:ascii="Times New Roman" w:hAnsi="Times New Roman"/>
          <w:b/>
          <w:bCs/>
          <w:sz w:val="22"/>
          <w:szCs w:val="22"/>
          <w:u w:val="none"/>
        </w:rPr>
      </w:r>
    </w:p>
    <w:p>
      <w:pPr>
        <w:pStyle w:val="Contenudetableau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0"/>
          <w:szCs w:val="20"/>
          <w:u w:val="none"/>
        </w:rPr>
        <w:t>SC1. Garanties apportées en termes de fiabilité de la télémétrie GMS (système de transmission de données à distance) sur 10 points</w:t>
      </w:r>
      <w:r>
        <w:rPr>
          <w:rFonts w:cs="Arial" w:ascii="Times New Roman" w:hAnsi="Times New Roman"/>
          <w:b/>
          <w:bCs/>
          <w:sz w:val="20"/>
          <w:szCs w:val="20"/>
        </w:rPr>
        <w:t>.</w:t>
      </w:r>
    </w:p>
    <w:p>
      <w:pPr>
        <w:pStyle w:val="Contenudetableau"/>
        <w:jc w:val="both"/>
        <w:rPr>
          <w:rFonts w:ascii="Times New Roman" w:hAnsi="Times New Roman" w:cs="Arial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 soumissionnaire </w:t>
      </w:r>
      <w:r>
        <w:rPr>
          <w:rFonts w:eastAsia="Calibri" w:cs="Arial" w:ascii="Times New Roman" w:hAnsi="Times New Roman"/>
          <w:bCs/>
          <w:sz w:val="20"/>
          <w:szCs w:val="20"/>
          <w:u w:val="single"/>
          <w:lang w:eastAsia="en-US"/>
        </w:rPr>
        <w:t>devra décrire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 les éléments suivants :</w:t>
        <w:br/>
        <w:t>- le transmetteur GSM ;</w:t>
        <w:br/>
        <w:t>- le schéma de raccordement au réservoir / cadre ;</w:t>
        <w:br/>
        <w:t>- les mécanismes de gestion et des pertes ou faiblesses du réseau GSM ;</w:t>
        <w:br/>
        <w:t>- la procédure de surveillance, maintenance et supervision du dispositif ;</w:t>
        <w:br/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u w:val="none"/>
          <w:lang w:eastAsia="en-US"/>
        </w:rPr>
        <w:t>- les conditions d’hébergement et de sécurité des données.</w:t>
      </w:r>
    </w:p>
    <w:p>
      <w:pPr>
        <w:pStyle w:val="Contenudetableau"/>
        <w:jc w:val="both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tenudetableau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0"/>
          <w:szCs w:val="20"/>
          <w:u w:val="none"/>
        </w:rPr>
        <w:t>SC2. Garanties apportées sur le système numérique sécurité et dispositif d’automatisation/continuité des approvisionnements sur 10 points.</w:t>
      </w:r>
    </w:p>
    <w:p>
      <w:pPr>
        <w:pStyle w:val="Contenudetableau"/>
        <w:jc w:val="both"/>
        <w:rPr>
          <w:rFonts w:ascii="Times New Roman" w:hAnsi="Times New Roman" w:cs="Arial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/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 soumissionnaire </w:t>
      </w:r>
      <w:r>
        <w:rPr>
          <w:rFonts w:eastAsia="Calibri" w:cs="Arial" w:ascii="Times New Roman" w:hAnsi="Times New Roman"/>
          <w:bCs/>
          <w:sz w:val="20"/>
          <w:szCs w:val="20"/>
          <w:u w:val="none"/>
          <w:lang w:eastAsia="en-US"/>
        </w:rPr>
        <w:t>devra décrire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 les éléments suivants 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/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le</w:t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lang w:eastAsia="en-US"/>
        </w:rPr>
        <w:t xml:space="preserve"> </w:t>
      </w:r>
      <w:r>
        <w:rPr>
          <w:rStyle w:val="Strong"/>
          <w:rFonts w:eastAsia="Calibri" w:cs="Arial" w:ascii="Times New Roman" w:hAnsi="Times New Roman"/>
          <w:b w:val="false"/>
          <w:bCs w:val="false"/>
          <w:sz w:val="20"/>
          <w:szCs w:val="20"/>
          <w:lang w:eastAsia="en-US"/>
        </w:rPr>
        <w:t>portail sécurisé 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/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l’accessibilité des données de niveaux de remplissage en temps réel, sur l’historique des niveaux, livraisons et consommations ;</w:t>
        <w:br/>
        <w:t>- la gestion multi-utilisateurs/multi-profils ;</w:t>
        <w:br/>
        <w:t>- l’automatisation des réapprovisionnements (télémétrie, seuls d’alerte et de déclenchement automatique, présence d’alarmes, et données sur les pics de consommation) ;</w:t>
        <w:br/>
        <w:t>- la continuité d’approvisionnement pour une utilisation 24h/24 et 365 jours par an (double cadre, bouteilles de secours, plan logistique de continuité).</w:t>
      </w:r>
    </w:p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"/>
        <w:jc w:val="both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Critère 4 : Délais de livraison et réactivité : 10 points</w:t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Contenudetableau"/>
        <w:jc w:val="both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/>
          <w:bCs/>
          <w:sz w:val="20"/>
          <w:szCs w:val="20"/>
          <w:u w:val="none"/>
        </w:rPr>
        <w:t>SC1.  Garanties apportées par le soumissionnaire sur le respect du délai imposé (96h) de livraison pour le gaz en bouteilles sur 5 points</w:t>
      </w:r>
      <w:r>
        <w:rPr>
          <w:rFonts w:cs="Arial" w:ascii="Times New Roman" w:hAnsi="Times New Roman"/>
          <w:b/>
          <w:bCs/>
          <w:sz w:val="20"/>
          <w:szCs w:val="20"/>
        </w:rPr>
        <w:t>.</w:t>
      </w:r>
    </w:p>
    <w:p>
      <w:pPr>
        <w:pStyle w:val="Contenudetableau"/>
        <w:jc w:val="both"/>
        <w:rPr>
          <w:rFonts w:ascii="Times New Roman" w:hAnsi="Times New Roman" w:cs="Arial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  <w:sz w:val="20"/>
          <w:szCs w:val="20"/>
        </w:rPr>
      </w:pPr>
      <w:r>
        <w:rPr>
          <w:rFonts w:eastAsia="Calibri" w:cs="Arial" w:ascii="Times New Roman" w:hAnsi="Times New Roman"/>
          <w:b w:val="false"/>
          <w:bCs w:val="false"/>
          <w:sz w:val="20"/>
          <w:szCs w:val="20"/>
          <w:lang w:eastAsia="en-US"/>
        </w:rPr>
        <w:t xml:space="preserve">Le soumissionnaire </w:t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u w:val="single"/>
          <w:lang w:eastAsia="en-US"/>
        </w:rPr>
        <w:t>devra décrire l</w:t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lang w:eastAsia="en-US"/>
        </w:rPr>
        <w:t xml:space="preserve">es éléments suivants : </w:t>
        <w:br/>
        <w:t>- l’organisation logistique générale (implantations, capacités de stockage, gestion des flux) ;</w:t>
        <w:br/>
        <w:t>- les moyens de transport mobilisables (types de véhicules, conformité ADR, disponibilité) ;</w:t>
        <w:br/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u w:val="none"/>
          <w:lang w:eastAsia="en-US"/>
        </w:rPr>
        <w:t>- les schémas d’acheminement ou plans de tournée type démontrant la faisabilité du délai imposé (96h).</w:t>
      </w:r>
    </w:p>
    <w:p>
      <w:pPr>
        <w:pStyle w:val="Contenudetableau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Contenudetableau"/>
        <w:jc w:val="both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Contenudetableau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0"/>
          <w:szCs w:val="20"/>
          <w:u w:val="none"/>
        </w:rPr>
        <w:t>SC2. Moyens utilisés pour respecter le délai d’approvisionnement d’urgence (2 jours ouvrés) sur 5 points.</w:t>
      </w:r>
    </w:p>
    <w:p>
      <w:pPr>
        <w:pStyle w:val="Contenudetableau"/>
        <w:jc w:val="both"/>
        <w:rPr>
          <w:rFonts w:ascii="Times New Roman" w:hAnsi="Times New Roman" w:cs="Arial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 soumissionnaire </w:t>
      </w:r>
      <w:r>
        <w:rPr>
          <w:rFonts w:eastAsia="Calibri" w:cs="Arial" w:ascii="Times New Roman" w:hAnsi="Times New Roman"/>
          <w:bCs/>
          <w:sz w:val="20"/>
          <w:szCs w:val="20"/>
          <w:u w:val="single"/>
          <w:lang w:eastAsia="en-US"/>
        </w:rPr>
        <w:t xml:space="preserve">devra décrire 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les éléments suivants :  </w:t>
        <w:br/>
        <w:t>- l’organisation logistique dédiée aux situations d’urgence ;</w:t>
        <w:br/>
        <w:t>- les moyens de transport spécifiques mobilisables ;</w:t>
        <w:br/>
        <w:t>- les schémas d’acheminement ou plans de tournée type démontrant la faisabilité du délai d’urgence ;</w:t>
        <w:br/>
        <w:t>- les dispositifs de pilotage et de suivi des interventions en urgence.</w:t>
      </w:r>
    </w:p>
    <w:p>
      <w:pPr>
        <w:pStyle w:val="Normal"/>
        <w:spacing w:before="0" w:after="160"/>
        <w:jc w:val="both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0" w:top="1134" w:footer="1134" w:bottom="119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 xml:space="preserve">Annexe 5 du </w:t>
    </w:r>
    <w:r>
      <w:rPr>
        <w:rFonts w:ascii="Times New Roman" w:hAnsi="Times New Roman"/>
        <w:sz w:val="22"/>
        <w:szCs w:val="22"/>
      </w:rPr>
      <w:t>RC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 xml:space="preserve">Annexe 5 du </w:t>
    </w:r>
    <w:r>
      <w:rPr>
        <w:rFonts w:ascii="Times New Roman" w:hAnsi="Times New Roman"/>
        <w:sz w:val="22"/>
        <w:szCs w:val="22"/>
      </w:rPr>
      <w:t>RC</w: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left"/>
      <w:rPr>
        <w:rFonts w:ascii="Arial" w:hAnsi="Arial"/>
      </w:rPr>
    </w:pPr>
    <w:r>
      <w:rPr>
        <w:rFonts w:ascii="Arial" w:hAnsi="Arial"/>
      </w:rPr>
    </w:r>
  </w:p>
  <w:p>
    <w:pPr>
      <w:pStyle w:val="Footer"/>
      <w:bidi w:val="0"/>
      <w:jc w:val="left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>Annexe 5 du</w:t>
    </w:r>
    <w:r>
      <w:rPr>
        <w:rFonts w:ascii="Times New Roman" w:hAnsi="Times New Roman"/>
        <w:sz w:val="22"/>
        <w:szCs w:val="22"/>
      </w:rPr>
      <w:t xml:space="preserve"> RC</w:t>
      <w:tab/>
      <w:t xml:space="preserve">Page </w:t>
    </w:r>
    <w:r>
      <w:rPr>
        <w:rFonts w:ascii="Times New Roman" w:hAnsi="Times New Roman"/>
        <w:sz w:val="22"/>
        <w:szCs w:val="22"/>
      </w:rPr>
      <w:fldChar w:fldCharType="begin"/>
    </w:r>
    <w:r>
      <w:rPr>
        <w:sz w:val="22"/>
        <w:szCs w:val="22"/>
        <w:rFonts w:ascii="Times New Roman" w:hAnsi="Times New Roman"/>
      </w:rPr>
      <w:instrText xml:space="preserve"> PAGE </w:instrText>
    </w:r>
    <w:r>
      <w:rPr>
        <w:sz w:val="22"/>
        <w:szCs w:val="22"/>
        <w:rFonts w:ascii="Times New Roman" w:hAnsi="Times New Roman"/>
      </w:rPr>
      <w:fldChar w:fldCharType="separate"/>
    </w:r>
    <w:r>
      <w:rPr>
        <w:sz w:val="22"/>
        <w:szCs w:val="22"/>
        <w:rFonts w:ascii="Times New Roman" w:hAnsi="Times New Roman"/>
      </w:rPr>
      <w:t>5</w:t>
    </w:r>
    <w:r>
      <w:rPr>
        <w:sz w:val="22"/>
        <w:szCs w:val="22"/>
        <w:rFonts w:ascii="Times New Roman" w:hAnsi="Times New Roman"/>
      </w:rPr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fr-FR" w:eastAsia="zh-CN" w:bidi="hi-IN"/>
    </w:rPr>
  </w:style>
  <w:style w:type="paragraph" w:styleId="Heading4">
    <w:name w:val="heading 4"/>
    <w:basedOn w:val="Normal"/>
    <w:next w:val="Normal"/>
    <w:qFormat/>
    <w:pPr>
      <w:keepNext w:val="true"/>
      <w:spacing w:before="0" w:after="0"/>
      <w:ind w:firstLine="900" w:left="0" w:right="0"/>
      <w:jc w:val="both"/>
    </w:pPr>
    <w:rPr>
      <w:b/>
      <w:bCs/>
      <w:i/>
      <w:iCs/>
      <w:u w:val="single"/>
    </w:rPr>
  </w:style>
  <w:style w:type="character" w:styleId="Strong">
    <w:name w:val="Strong"/>
    <w:qFormat/>
    <w:rPr>
      <w:b/>
      <w:bCs/>
    </w:rPr>
  </w:style>
  <w:style w:type="character" w:styleId="Policepardfaut">
    <w:name w:val="Police par défaut"/>
    <w:qFormat/>
    <w:rPr/>
  </w:style>
  <w:style w:type="character" w:styleId="Puces">
    <w:name w:val="Puces"/>
    <w:qFormat/>
    <w:rPr>
      <w:rFonts w:ascii="StarSymbol" w:hAnsi="StarSymbol" w:eastAsia="StarSymbol" w:cs="StarSymbol"/>
      <w:sz w:val="18"/>
      <w:szCs w:val="18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Footer">
    <w:name w:val="footer"/>
    <w:basedOn w:val="En-tteetpieddepageuser"/>
    <w:pPr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itations">
    <w:name w:val="Citations"/>
    <w:basedOn w:val="Normal"/>
    <w:qFormat/>
    <w:pPr>
      <w:suppressAutoHyphens w:val="true"/>
      <w:spacing w:before="0" w:after="283"/>
      <w:ind w:hanging="0" w:left="567" w:right="567"/>
    </w:pPr>
    <w:rPr/>
  </w:style>
  <w:style w:type="paragraph" w:styleId="TITRE1">
    <w:name w:val="TITRE1"/>
    <w:basedOn w:val="Heading4"/>
    <w:qFormat/>
    <w:pPr>
      <w:numPr>
        <w:ilvl w:val="1"/>
        <w:numId w:val="1"/>
      </w:numPr>
      <w:spacing w:before="227" w:after="227"/>
      <w:ind w:hanging="0" w:left="0" w:right="0"/>
      <w:outlineLvl w:val="1"/>
    </w:pPr>
    <w:rPr>
      <w:b/>
      <w:i w:val="false"/>
      <w:sz w:val="22"/>
    </w:rPr>
  </w:style>
  <w:style w:type="paragraph" w:styleId="Commentaire">
    <w:name w:val="Commentaire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PrformatHTML">
    <w:name w:val="Préformaté HTML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Contenudetableau">
    <w:name w:val="Contenu de tableau"/>
    <w:basedOn w:val="Normal"/>
    <w:qFormat/>
    <w:pPr>
      <w:widowControl w:val="false"/>
      <w:suppressLineNumbers/>
      <w:suppressAutoHyphens w:val="true"/>
    </w:pPr>
    <w:rPr/>
  </w:style>
  <w:style w:type="paragraph" w:styleId="Commentaireuser">
    <w:name w:val="Commentaire (user)"/>
    <w:basedOn w:val="Normal"/>
    <w:qFormat/>
    <w:pPr>
      <w:spacing w:before="56" w:after="0"/>
      <w:ind w:left="56" w:right="56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864</TotalTime>
  <Application>LibreOffice/24.8.5.2$Linux_X86_64 LibreOffice_project/480$Build-2</Application>
  <AppVersion>15.0000</AppVersion>
  <Pages>5</Pages>
  <Words>672</Words>
  <Characters>3680</Characters>
  <CharactersWithSpaces>4326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2024-10-22T15:05:01Z</dcterms:created>
  <dc:creator/>
  <dc:description/>
  <dc:language>fr-FR</dc:language>
  <cp:lastModifiedBy/>
  <cp:lastPrinted>2026-03-05T13:14:43Z</cp:lastPrinted>
  <dcterms:modified xsi:type="dcterms:W3CDTF">2026-04-09T11:14:22Z</dcterms:modified>
  <cp:revision>148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